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E047D2" w14:textId="4D417263" w:rsidR="00857962" w:rsidRPr="00460028" w:rsidRDefault="009B28ED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  <w:proofErr w:type="gramEnd"/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Saint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Germain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en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33445C4A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3D0DA6" w:rsidRPr="003D0DA6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66D16F4D" w:rsidR="00460028" w:rsidRPr="003D0DA6" w:rsidRDefault="003D0DA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D0DA6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Data objects of a service and their properties (service data model)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33445C4A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3D0DA6" w:rsidRPr="003D0DA6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2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66D16F4D" w:rsidR="00460028" w:rsidRPr="003D0DA6" w:rsidRDefault="003D0DA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3D0DA6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Data objects of a service and their properties (service data model)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BodyText"/>
            </w:pPr>
          </w:p>
        </w:tc>
      </w:tr>
    </w:tbl>
    <w:p w14:paraId="4CD45056" w14:textId="2009E308"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1B5D88D0" w:rsidR="009E1230" w:rsidRPr="00DF6EB4" w:rsidRDefault="005D08CF" w:rsidP="00DF6EB4">
      <w:pPr>
        <w:pStyle w:val="BlockText"/>
      </w:pPr>
      <w:r w:rsidRPr="003D0DA6">
        <w:t xml:space="preserve">Appendix </w:t>
      </w:r>
      <w:r w:rsidR="003D0DA6" w:rsidRPr="003D0DA6">
        <w:t>2</w:t>
      </w:r>
      <w:r w:rsidRPr="003D0DA6">
        <w:t xml:space="preserve"> - </w:t>
      </w:r>
      <w:r w:rsidR="003D0DA6" w:rsidRPr="003D0DA6">
        <w:t>Data objects of a service and their properties (service data model)</w:t>
      </w:r>
    </w:p>
    <w:p w14:paraId="3EB6BE3E" w14:textId="77777777" w:rsidR="009E1230" w:rsidRPr="00460028" w:rsidRDefault="009E1230"/>
    <w:p w14:paraId="4B8EC591" w14:textId="16166EC4" w:rsidR="00460028" w:rsidRDefault="00460028" w:rsidP="00E22226">
      <w:pPr>
        <w:pStyle w:val="Title"/>
      </w:pPr>
      <w:r>
        <w:t>Table of Contents</w:t>
      </w:r>
    </w:p>
    <w:p w14:paraId="36D17847" w14:textId="77777777" w:rsidR="005207B2" w:rsidRPr="00C6509B" w:rsidRDefault="00F46430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C6509B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C6509B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Default="00E22226" w:rsidP="00E22226">
      <w:pPr>
        <w:pStyle w:val="Title"/>
      </w:pPr>
      <w:r>
        <w:t>Index of Tables</w:t>
      </w:r>
    </w:p>
    <w:p w14:paraId="2A1B1D45" w14:textId="77777777" w:rsidR="00E22226" w:rsidRPr="00C6509B" w:rsidRDefault="00F46430" w:rsidP="00E22226">
      <w:pPr>
        <w:pStyle w:val="BodyText"/>
        <w:rPr>
          <w:lang w:val="de-DE"/>
        </w:rPr>
      </w:pPr>
      <w:r>
        <w:fldChar w:fldCharType="begin"/>
      </w:r>
      <w:r w:rsidR="00E22226" w:rsidRPr="00C6509B">
        <w:rPr>
          <w:lang w:val="de-DE"/>
        </w:rPr>
        <w:instrText xml:space="preserve"> TOC \h \z \t "Table_#" \c </w:instrText>
      </w:r>
      <w:r>
        <w:fldChar w:fldCharType="separate"/>
      </w:r>
      <w:r w:rsidR="00C6509B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C6509B" w:rsidRDefault="002D4569" w:rsidP="002D4569">
      <w:pPr>
        <w:pStyle w:val="BodyText"/>
        <w:rPr>
          <w:lang w:val="de-DE"/>
        </w:rPr>
      </w:pPr>
    </w:p>
    <w:p w14:paraId="1A3B0D49" w14:textId="77777777" w:rsidR="002D4569" w:rsidRPr="00C6509B" w:rsidRDefault="002D4569" w:rsidP="00D30727">
      <w:pPr>
        <w:pStyle w:val="Title"/>
        <w:rPr>
          <w:lang w:val="de-DE"/>
        </w:rPr>
      </w:pPr>
      <w:r w:rsidRPr="00C6509B">
        <w:rPr>
          <w:lang w:val="de-DE"/>
        </w:rPr>
        <w:t>Index of Figures</w:t>
      </w:r>
    </w:p>
    <w:p w14:paraId="587E797B" w14:textId="77777777" w:rsidR="002D4569" w:rsidRPr="00C6509B" w:rsidRDefault="00F46430" w:rsidP="002D4569">
      <w:pPr>
        <w:pStyle w:val="BodyText"/>
        <w:rPr>
          <w:lang w:val="de-DE"/>
        </w:rPr>
      </w:pPr>
      <w:r>
        <w:fldChar w:fldCharType="begin"/>
      </w:r>
      <w:r w:rsidR="002D4569" w:rsidRPr="00C6509B">
        <w:rPr>
          <w:lang w:val="de-DE"/>
        </w:rPr>
        <w:instrText xml:space="preserve"> TOC \h \z \t "Figure_#" \c </w:instrText>
      </w:r>
      <w:r>
        <w:fldChar w:fldCharType="separate"/>
      </w:r>
      <w:r w:rsidR="00C6509B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0574BDFE" w:rsidR="00985597" w:rsidRDefault="00460028" w:rsidP="00D30727">
      <w:pPr>
        <w:pStyle w:val="Title"/>
      </w:pPr>
      <w:r w:rsidRPr="00C6509B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3D0DA6">
        <w:t>2</w:t>
      </w:r>
      <w:r w:rsidR="005D08CF">
        <w:t xml:space="preserve"> - </w:t>
      </w:r>
    </w:p>
    <w:p w14:paraId="3D73BC78" w14:textId="039AD273" w:rsidR="009E1230" w:rsidRPr="00985597" w:rsidRDefault="003D0DA6" w:rsidP="00985597">
      <w:pPr>
        <w:pStyle w:val="BodyText"/>
        <w:jc w:val="center"/>
        <w:rPr>
          <w:b/>
          <w:sz w:val="32"/>
          <w:szCs w:val="32"/>
        </w:rPr>
      </w:pPr>
      <w:r w:rsidRPr="003D0DA6">
        <w:rPr>
          <w:rFonts w:cs="Arial"/>
          <w:b/>
          <w:bCs/>
          <w:color w:val="000000"/>
          <w:sz w:val="36"/>
          <w:szCs w:val="36"/>
        </w:rPr>
        <w:t>Data objects of a service and their properties (service data model)</w:t>
      </w:r>
    </w:p>
    <w:p w14:paraId="1C122D20" w14:textId="33B63F0F" w:rsidR="003C44EB" w:rsidRPr="003D0DA6" w:rsidRDefault="003C44EB" w:rsidP="00EE3BAA">
      <w:pPr>
        <w:pStyle w:val="Heading1"/>
        <w:numPr>
          <w:ilvl w:val="0"/>
          <w:numId w:val="1"/>
        </w:numPr>
      </w:pPr>
      <w:bookmarkStart w:id="1" w:name="_Toc216489705"/>
      <w:r w:rsidRPr="003D0DA6">
        <w:t>Introduction</w:t>
      </w:r>
      <w:bookmarkEnd w:id="1"/>
    </w:p>
    <w:p w14:paraId="4CD7CDE9" w14:textId="77777777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 xml:space="preserve">--- </w:t>
      </w:r>
      <w:proofErr w:type="gramStart"/>
      <w:r>
        <w:rPr>
          <w:highlight w:val="yellow"/>
        </w:rPr>
        <w:t>rule</w:t>
      </w:r>
      <w:proofErr w:type="gramEnd"/>
      <w:r>
        <w:rPr>
          <w:highlight w:val="yellow"/>
        </w:rPr>
        <w:t xml:space="preserve"> base for development of data models of the services needs to be included here; </w:t>
      </w:r>
    </w:p>
    <w:p w14:paraId="329087F0" w14:textId="2804EFB8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 xml:space="preserve">--- </w:t>
      </w:r>
      <w:proofErr w:type="gramStart"/>
      <w:r>
        <w:rPr>
          <w:highlight w:val="yellow"/>
        </w:rPr>
        <w:t>the</w:t>
      </w:r>
      <w:proofErr w:type="gramEnd"/>
      <w:r>
        <w:rPr>
          <w:highlight w:val="yellow"/>
        </w:rPr>
        <w:t xml:space="preserve"> idea is, that this appendix describes in a generic manner how a technical service references the (elsewhere defined) data objects that are “known” to a service </w:t>
      </w:r>
    </w:p>
    <w:p w14:paraId="14E4AEC6" w14:textId="0A588C0C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>--- this Appendix’s task is to eventually provide the description-wise “interface” to the S-100 data definitions (making use of the various registers).</w:t>
      </w:r>
    </w:p>
    <w:p w14:paraId="5321A585" w14:textId="44E2241F" w:rsidR="003D0DA6" w:rsidRDefault="003D0DA6" w:rsidP="003D0DA6">
      <w:pPr>
        <w:ind w:left="1276" w:hanging="1276"/>
      </w:pPr>
      <w:r>
        <w:rPr>
          <w:highlight w:val="yellow"/>
        </w:rPr>
        <w:t xml:space="preserve">--- pointing to the appropriate S-100 data definitions documentations </w:t>
      </w:r>
    </w:p>
    <w:p w14:paraId="65607716" w14:textId="77777777" w:rsidR="003D0DA6" w:rsidRDefault="003D0DA6" w:rsidP="003D0DA6">
      <w:pPr>
        <w:ind w:left="1276" w:hanging="1276"/>
        <w:rPr>
          <w:highlight w:val="yellow"/>
        </w:rPr>
      </w:pPr>
      <w:r>
        <w:rPr>
          <w:highlight w:val="yellow"/>
        </w:rPr>
        <w:t xml:space="preserve">--- </w:t>
      </w:r>
      <w:proofErr w:type="gramStart"/>
      <w:r>
        <w:rPr>
          <w:highlight w:val="yellow"/>
        </w:rPr>
        <w:t>the</w:t>
      </w:r>
      <w:proofErr w:type="gramEnd"/>
      <w:r>
        <w:rPr>
          <w:highlight w:val="yellow"/>
        </w:rPr>
        <w:t xml:space="preserve"> generic service description also illustrates the process of developing new service-specific S-100 entries, if required</w:t>
      </w:r>
    </w:p>
    <w:p w14:paraId="0BB6573C" w14:textId="77777777" w:rsidR="003D0DA6" w:rsidRDefault="003D0DA6" w:rsidP="003D0DA6">
      <w:pPr>
        <w:ind w:left="1276" w:hanging="1276"/>
        <w:rPr>
          <w:highlight w:val="yellow"/>
        </w:rPr>
      </w:pPr>
    </w:p>
    <w:p w14:paraId="128D4EAF" w14:textId="58E58D7C" w:rsidR="003D0DA6" w:rsidRPr="003D0DA6" w:rsidRDefault="003D0DA6" w:rsidP="003D0DA6">
      <w:pPr>
        <w:pStyle w:val="Heading1"/>
        <w:numPr>
          <w:ilvl w:val="0"/>
          <w:numId w:val="1"/>
        </w:numPr>
        <w:rPr>
          <w:highlight w:val="yellow"/>
        </w:rPr>
      </w:pPr>
      <w:r w:rsidRPr="003D0DA6">
        <w:rPr>
          <w:highlight w:val="yellow"/>
        </w:rPr>
        <w:t>--- Section Structure to be developed ---</w:t>
      </w:r>
    </w:p>
    <w:p w14:paraId="6D3D53EA" w14:textId="77777777" w:rsidR="003D0DA6" w:rsidRDefault="003D0DA6" w:rsidP="003D0DA6">
      <w:pPr>
        <w:ind w:left="1276" w:hanging="1276"/>
        <w:rPr>
          <w:highlight w:val="yellow"/>
        </w:rPr>
      </w:pPr>
    </w:p>
    <w:sectPr w:rsidR="003D0DA6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1DBF3" w14:textId="77777777" w:rsidR="00E67CB6" w:rsidRDefault="00E67CB6" w:rsidP="009E1230">
      <w:r>
        <w:separator/>
      </w:r>
    </w:p>
  </w:endnote>
  <w:endnote w:type="continuationSeparator" w:id="0">
    <w:p w14:paraId="3FB48DD1" w14:textId="77777777" w:rsidR="00E67CB6" w:rsidRDefault="00E67CB6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42B8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E82EEA">
      <w:rPr>
        <w:noProof/>
        <w:lang w:val="en-US"/>
      </w:rPr>
      <w:t>4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E82EEA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FDED0" w14:textId="77777777" w:rsidR="00E67CB6" w:rsidRDefault="00E67CB6" w:rsidP="009E1230">
      <w:r>
        <w:separator/>
      </w:r>
    </w:p>
  </w:footnote>
  <w:footnote w:type="continuationSeparator" w:id="0">
    <w:p w14:paraId="18117F21" w14:textId="77777777" w:rsidR="00E67CB6" w:rsidRDefault="00E67CB6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FAA3" w14:textId="3B96CF15" w:rsidR="008136BC" w:rsidRPr="003D0DA6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3D0DA6" w:rsidRPr="003D0DA6">
      <w:t>2 - Data objects of a service and their properties (service data model)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215C4" w14:textId="3609DA45" w:rsidR="00E82EEA" w:rsidRDefault="00E82EEA" w:rsidP="00B83D5F">
    <w:pPr>
      <w:pStyle w:val="Header"/>
      <w:jc w:val="right"/>
      <w:rPr>
        <w:lang w:val="en-US"/>
      </w:rPr>
    </w:pPr>
    <w:r>
      <w:rPr>
        <w:lang w:val="en-US"/>
      </w:rPr>
      <w:t>ENAV15-8.12</w:t>
    </w:r>
  </w:p>
  <w:p w14:paraId="2D12C114" w14:textId="33074948" w:rsidR="0004410E" w:rsidRPr="00B83D5F" w:rsidRDefault="00E82EEA" w:rsidP="00B83D5F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3C2E24">
      <w:rPr>
        <w:lang w:val="en-US"/>
      </w:rPr>
      <w:t>CSSA1-5</w:t>
    </w:r>
    <w:r w:rsidR="00B83D5F">
      <w:rPr>
        <w:lang w:val="en-US"/>
      </w:rPr>
      <w:t>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2E24"/>
    <w:rsid w:val="003C44EB"/>
    <w:rsid w:val="003D0DA6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13B4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7A94"/>
    <w:rsid w:val="009E1230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83D5F"/>
    <w:rsid w:val="00B91264"/>
    <w:rsid w:val="00C11C05"/>
    <w:rsid w:val="00C23159"/>
    <w:rsid w:val="00C528B9"/>
    <w:rsid w:val="00C531DA"/>
    <w:rsid w:val="00C6509B"/>
    <w:rsid w:val="00C8750E"/>
    <w:rsid w:val="00C97FD2"/>
    <w:rsid w:val="00CB4864"/>
    <w:rsid w:val="00CC4B2D"/>
    <w:rsid w:val="00CD7575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67CB6"/>
    <w:rsid w:val="00E711D8"/>
    <w:rsid w:val="00E73E4C"/>
    <w:rsid w:val="00E82EEA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25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7A18B-C1D5-4BD7-95F1-AFD3512B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1445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12</cp:revision>
  <cp:lastPrinted>2008-12-16T06:04:00Z</cp:lastPrinted>
  <dcterms:created xsi:type="dcterms:W3CDTF">2014-08-12T07:43:00Z</dcterms:created>
  <dcterms:modified xsi:type="dcterms:W3CDTF">2014-09-22T08:55:00Z</dcterms:modified>
</cp:coreProperties>
</file>